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Nadja Tatar</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MA student at the Faculty of Media and Communication</w:t>
      </w:r>
      <w:r>
        <w:rPr>
          <w:rFonts w:ascii="Times New Roman" w:hAnsi="Times New Roman"/>
          <w:sz w:val="24"/>
          <w:szCs w:val="24"/>
          <w:rtl w:val="0"/>
          <w:lang w:val="en-US"/>
        </w:rPr>
        <w:t>, Singidunum University</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Department for Critical Political Studies</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Belgrade, Serbia</w:t>
      </w:r>
    </w:p>
    <w:p>
      <w:pPr>
        <w:pStyle w:val="Body A"/>
        <w:rPr>
          <w:rStyle w:val="None"/>
          <w:rFonts w:ascii="Times New Roman" w:cs="Times New Roman" w:hAnsi="Times New Roman" w:eastAsia="Times New Roman"/>
          <w:sz w:val="24"/>
          <w:szCs w:val="24"/>
        </w:rPr>
      </w:pPr>
      <w:r>
        <w:rPr>
          <w:rStyle w:val="Hyperlink.0"/>
        </w:rPr>
        <w:fldChar w:fldCharType="begin" w:fldLock="0"/>
      </w:r>
      <w:r>
        <w:rPr>
          <w:rStyle w:val="Hyperlink.0"/>
        </w:rPr>
        <w:instrText xml:space="preserve"> HYPERLINK "mailto:nadja.tatar.20185022@fmk.edu.r"</w:instrText>
      </w:r>
      <w:r>
        <w:rPr>
          <w:rStyle w:val="Hyperlink.0"/>
        </w:rPr>
        <w:fldChar w:fldCharType="separate" w:fldLock="0"/>
      </w:r>
      <w:r>
        <w:rPr>
          <w:rStyle w:val="Hyperlink.0"/>
          <w:rtl w:val="0"/>
        </w:rPr>
        <w:t>nadja.tatar.20185022@fmk.edu.r</w:t>
      </w:r>
      <w:r>
        <w:rPr/>
        <w:fldChar w:fldCharType="end" w:fldLock="0"/>
      </w:r>
      <w:r>
        <w:rPr>
          <w:rStyle w:val="None"/>
          <w:rFonts w:ascii="Times New Roman" w:hAnsi="Times New Roman"/>
          <w:sz w:val="24"/>
          <w:szCs w:val="24"/>
          <w:rtl w:val="0"/>
          <w:lang w:val="en-US"/>
        </w:rPr>
        <w:t>s</w:t>
      </w:r>
    </w:p>
    <w:p>
      <w:pPr>
        <w:pStyle w:val="Body A"/>
        <w:rPr>
          <w:rStyle w:val="None"/>
          <w:rFonts w:ascii="Times New Roman" w:cs="Times New Roman" w:hAnsi="Times New Roman" w:eastAsia="Times New Roman"/>
          <w:sz w:val="24"/>
          <w:szCs w:val="24"/>
        </w:rPr>
      </w:pPr>
    </w:p>
    <w:p>
      <w:pPr>
        <w:pStyle w:val="Body A"/>
        <w:rPr>
          <w:rStyle w:val="None"/>
          <w:rFonts w:ascii="Times New Roman" w:cs="Times New Roman" w:hAnsi="Times New Roman" w:eastAsia="Times New Roman"/>
          <w:b w:val="1"/>
          <w:bCs w:val="1"/>
          <w:sz w:val="24"/>
          <w:szCs w:val="24"/>
        </w:rPr>
      </w:pPr>
    </w:p>
    <w:p>
      <w:pPr>
        <w:pStyle w:val="Body A"/>
        <w:jc w:val="center"/>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 xml:space="preserve">The Representation of Women in Urban Public Spaces: The Case of Novi Sad </w:t>
      </w:r>
    </w:p>
    <w:p>
      <w:pPr>
        <w:pStyle w:val="Body A"/>
        <w:jc w:val="center"/>
        <w:rPr>
          <w:rStyle w:val="None"/>
          <w:shd w:val="clear" w:color="auto" w:fill="ffffff"/>
          <w:lang w:val="en-US"/>
        </w:rPr>
      </w:pPr>
    </w:p>
    <w:p>
      <w:pPr>
        <w:pStyle w:val="Default"/>
        <w:spacing w:after="240" w:line="360" w:lineRule="auto"/>
        <w:jc w:val="both"/>
        <w:rPr>
          <w:rStyle w:val="None"/>
          <w:rFonts w:ascii="Times New Roman" w:cs="Times New Roman" w:hAnsi="Times New Roman" w:eastAsia="Times New Roman"/>
          <w:sz w:val="24"/>
          <w:szCs w:val="24"/>
          <w:shd w:val="clear" w:color="auto" w:fill="ffffff"/>
          <w:lang w:val="en-US"/>
        </w:rPr>
      </w:pPr>
      <w:r>
        <w:rPr>
          <w:rStyle w:val="None"/>
          <w:rFonts w:ascii="Times New Roman" w:cs="Times New Roman" w:hAnsi="Times New Roman" w:eastAsia="Times New Roman"/>
          <w:sz w:val="24"/>
          <w:szCs w:val="24"/>
          <w:shd w:val="clear" w:color="auto" w:fill="ffffff"/>
          <w:lang w:val="en-US"/>
        </w:rPr>
        <w:tab/>
      </w:r>
      <w:r>
        <w:rPr>
          <w:rStyle w:val="None"/>
          <w:rFonts w:ascii="Times New Roman" w:hAnsi="Times New Roman"/>
          <w:sz w:val="24"/>
          <w:szCs w:val="24"/>
          <w:shd w:val="clear" w:color="auto" w:fill="ffffff"/>
          <w:rtl w:val="0"/>
          <w:lang w:val="en-US"/>
        </w:rPr>
        <w:t>The primary topic of this research is the representation of women in urban public space. More specifically, it seeks to analyse how women are represented through forms of visual culture that can be found in urban environments. Scholars from various fields have extensively studied how representations of women and femininity serve to mobilise gender ideologies: w</w:t>
      </w:r>
      <w:r>
        <w:rPr>
          <w:rStyle w:val="None"/>
          <w:rFonts w:ascii="Times" w:hAnsi="Times"/>
          <w:sz w:val="24"/>
          <w:szCs w:val="24"/>
          <w:shd w:val="clear" w:color="auto" w:fill="ffffff"/>
          <w:rtl w:val="0"/>
          <w:lang w:val="en-US"/>
        </w:rPr>
        <w:t>omen have been shown to be passive, persistently sexualised, both ornamental objects and the most common visual allegories for liberty, peace and justice</w:t>
      </w:r>
      <w:r>
        <w:rPr>
          <w:rStyle w:val="None"/>
          <w:rFonts w:ascii="Times" w:hAnsi="Times"/>
          <w:sz w:val="24"/>
          <w:szCs w:val="24"/>
          <w:shd w:val="clear" w:color="auto" w:fill="ffffff"/>
          <w:rtl w:val="0"/>
          <w:lang w:val="en-US"/>
        </w:rPr>
        <w:t xml:space="preserve"> </w:t>
      </w:r>
      <w:r>
        <w:rPr>
          <w:rStyle w:val="None"/>
          <w:rFonts w:ascii="Times" w:hAnsi="Times"/>
          <w:sz w:val="24"/>
          <w:szCs w:val="24"/>
          <w:shd w:val="clear" w:color="auto" w:fill="ffffff"/>
          <w:rtl w:val="0"/>
          <w:lang w:val="en-US"/>
        </w:rPr>
        <w:t>(Berger, 1972;</w:t>
      </w:r>
      <w:r>
        <w:rPr>
          <w:rStyle w:val="None"/>
          <w:rFonts w:ascii="Times" w:hAnsi="Times"/>
          <w:sz w:val="24"/>
          <w:szCs w:val="24"/>
          <w:shd w:val="clear" w:color="auto" w:fill="ffffff"/>
          <w:rtl w:val="0"/>
          <w:lang w:val="en-US"/>
        </w:rPr>
        <w:t xml:space="preserve"> Goffman 1979)</w:t>
      </w:r>
      <w:r>
        <w:rPr>
          <w:rStyle w:val="None"/>
          <w:rFonts w:ascii="Times" w:hAnsi="Times"/>
          <w:sz w:val="24"/>
          <w:szCs w:val="24"/>
          <w:shd w:val="clear" w:color="auto" w:fill="ffffff"/>
          <w:rtl w:val="0"/>
          <w:lang w:val="en-US"/>
        </w:rPr>
        <w:t xml:space="preserve">. </w:t>
      </w:r>
      <w:r>
        <w:rPr>
          <w:rFonts w:ascii="Times New Roman" w:hAnsi="Times New Roman"/>
          <w:sz w:val="24"/>
          <w:szCs w:val="24"/>
          <w:rtl w:val="0"/>
          <w:lang w:val="en-US"/>
        </w:rPr>
        <w:t>These depictions are understood to be not a mere reflection of reality, but an important part in the social, cultural and political construction of gender</w:t>
      </w:r>
      <w:r>
        <w:rPr>
          <w:rFonts w:ascii="Times New Roman" w:hAnsi="Times New Roman"/>
          <w:sz w:val="24"/>
          <w:szCs w:val="24"/>
          <w:rtl w:val="0"/>
          <w:lang w:val="en-US"/>
        </w:rPr>
        <w:t xml:space="preserve"> (Hall, Evans and Nixon, 2013).</w:t>
      </w:r>
      <w:r>
        <w:rPr>
          <w:rFonts w:ascii="Times New Roman" w:hAnsi="Times New Roman"/>
          <w:sz w:val="24"/>
          <w:szCs w:val="24"/>
          <w:rtl w:val="0"/>
          <w:lang w:val="en-US"/>
        </w:rPr>
        <w:t xml:space="preserve"> However, while often culturally situated, this research rarely takes into account the spatial dimension of these portrayals. A sexualised advert seen in a magazine operates differently when displayed on a busy bus stop. Similarly, a sexist message sprayed on a public wall has a different effect than one scribbled in a restroom- on the basis of its presence in a public space</w:t>
      </w:r>
      <w:r>
        <w:rPr>
          <w:rFonts w:ascii="Times New Roman" w:hAnsi="Times New Roman"/>
          <w:sz w:val="24"/>
          <w:szCs w:val="24"/>
          <w:rtl w:val="0"/>
          <w:lang w:val="en-US"/>
        </w:rPr>
        <w:t>.</w:t>
      </w:r>
      <w:r>
        <w:rPr>
          <w:rStyle w:val="None"/>
          <w:rFonts w:ascii="Times New Roman" w:hAnsi="Times New Roman"/>
          <w:sz w:val="24"/>
          <w:szCs w:val="24"/>
          <w:shd w:val="clear" w:color="auto" w:fill="ffffff"/>
          <w:rtl w:val="0"/>
          <w:lang w:val="en-US"/>
        </w:rPr>
        <w:t xml:space="preserve"> The public visual artefacts we encounter every day- signs, graffiti, monuments, billboards, stencils, posters, and many others- can also profoundly impact the way we perceive and navigate the city, and provide insight into the cultural values of a given community.</w:t>
      </w:r>
    </w:p>
    <w:p>
      <w:pPr>
        <w:pStyle w:val="Default"/>
        <w:spacing w:after="240" w:line="360" w:lineRule="auto"/>
        <w:jc w:val="both"/>
        <w:rPr>
          <w:rStyle w:val="None"/>
          <w:rFonts w:ascii="Times New Roman" w:cs="Times New Roman" w:hAnsi="Times New Roman" w:eastAsia="Times New Roman"/>
          <w:sz w:val="24"/>
          <w:szCs w:val="24"/>
          <w:shd w:val="clear" w:color="auto" w:fill="ffffff"/>
        </w:rPr>
      </w:pPr>
      <w:r>
        <w:rPr>
          <w:rStyle w:val="None"/>
          <w:rFonts w:ascii="Times New Roman" w:cs="Times New Roman" w:hAnsi="Times New Roman" w:eastAsia="Times New Roman"/>
          <w:sz w:val="24"/>
          <w:szCs w:val="24"/>
          <w:shd w:val="clear" w:color="auto" w:fill="ffffff"/>
          <w:rtl w:val="0"/>
          <w:lang w:val="en-US"/>
        </w:rPr>
        <w:tab/>
        <w:t>T</w:t>
      </w:r>
      <w:r>
        <w:rPr>
          <w:rStyle w:val="None"/>
          <w:rFonts w:ascii="Times New Roman" w:hAnsi="Times New Roman"/>
          <w:sz w:val="24"/>
          <w:szCs w:val="24"/>
          <w:shd w:val="clear" w:color="auto" w:fill="ffffff"/>
          <w:rtl w:val="0"/>
          <w:lang w:val="en-US"/>
        </w:rPr>
        <w:t>he e</w:t>
      </w:r>
      <w:r>
        <w:rPr>
          <w:rStyle w:val="None"/>
          <w:rFonts w:ascii="Times New Roman" w:hAnsi="Times New Roman"/>
          <w:sz w:val="24"/>
          <w:szCs w:val="24"/>
          <w:shd w:val="clear" w:color="auto" w:fill="ffffff"/>
          <w:rtl w:val="0"/>
          <w:lang w:val="en-US"/>
        </w:rPr>
        <w:t>xisting literature that explores the interplay of space, gender, and vi</w:t>
      </w:r>
      <w:r>
        <w:rPr>
          <w:rStyle w:val="None"/>
          <w:rFonts w:ascii="Times New Roman" w:hAnsi="Times New Roman"/>
          <w:sz w:val="24"/>
          <w:szCs w:val="24"/>
          <w:shd w:val="clear" w:color="auto" w:fill="ffffff"/>
          <w:rtl w:val="0"/>
          <w:lang w:val="en-US"/>
        </w:rPr>
        <w:t>s</w:t>
      </w:r>
      <w:r>
        <w:rPr>
          <w:rStyle w:val="None"/>
          <w:rFonts w:ascii="Times New Roman" w:hAnsi="Times New Roman"/>
          <w:sz w:val="24"/>
          <w:szCs w:val="24"/>
          <w:shd w:val="clear" w:color="auto" w:fill="ffffff"/>
          <w:rtl w:val="0"/>
          <w:lang w:val="en-US"/>
        </w:rPr>
        <w:t>ual culture focuses almost exclusively on Western</w:t>
      </w:r>
      <w:r>
        <w:rPr>
          <w:rStyle w:val="None"/>
          <w:rFonts w:ascii="Times New Roman" w:hAnsi="Times New Roman"/>
          <w:sz w:val="24"/>
          <w:szCs w:val="24"/>
          <w:shd w:val="clear" w:color="auto" w:fill="ffffff"/>
          <w:rtl w:val="0"/>
          <w:lang w:val="en-US"/>
        </w:rPr>
        <w:t>,</w:t>
      </w:r>
      <w:r>
        <w:rPr>
          <w:rStyle w:val="None"/>
          <w:rFonts w:ascii="Times New Roman" w:hAnsi="Times New Roman"/>
          <w:sz w:val="24"/>
          <w:szCs w:val="24"/>
          <w:shd w:val="clear" w:color="auto" w:fill="ffffff"/>
          <w:rtl w:val="0"/>
          <w:lang w:val="en-US"/>
        </w:rPr>
        <w:t xml:space="preserve"> neoliberal cities. By focusing on the case of Novi Sad, </w:t>
      </w:r>
      <w:r>
        <w:rPr>
          <w:rStyle w:val="None"/>
          <w:rFonts w:ascii="Times New Roman" w:hAnsi="Times New Roman"/>
          <w:sz w:val="24"/>
          <w:szCs w:val="24"/>
          <w:shd w:val="clear" w:color="auto" w:fill="ffffff"/>
          <w:rtl w:val="0"/>
          <w:lang w:val="en-US"/>
        </w:rPr>
        <w:t xml:space="preserve">a city in northern Serbia, </w:t>
      </w:r>
      <w:r>
        <w:rPr>
          <w:rStyle w:val="None"/>
          <w:rFonts w:ascii="Times New Roman" w:hAnsi="Times New Roman"/>
          <w:sz w:val="24"/>
          <w:szCs w:val="24"/>
          <w:shd w:val="clear" w:color="auto" w:fill="ffffff"/>
          <w:rtl w:val="0"/>
          <w:lang w:val="en-US"/>
        </w:rPr>
        <w:t>this research traces both the distinctive evolvement of gender ideologies within the post-socialist, post-Yugoslav context, as well as the cultural, ideational effects of socialist rule and subsequent transitions</w:t>
      </w:r>
      <w:r>
        <w:rPr>
          <w:rStyle w:val="None"/>
          <w:rFonts w:ascii="Times New Roman" w:hAnsi="Times New Roman" w:hint="default"/>
          <w:sz w:val="24"/>
          <w:szCs w:val="24"/>
          <w:shd w:val="clear" w:color="auto" w:fill="ffffff"/>
          <w:rtl w:val="0"/>
          <w:lang w:val="en-US"/>
        </w:rPr>
        <w:t xml:space="preserve">— </w:t>
      </w:r>
      <w:r>
        <w:rPr>
          <w:rStyle w:val="None"/>
          <w:rFonts w:ascii="Times New Roman" w:hAnsi="Times New Roman"/>
          <w:sz w:val="24"/>
          <w:szCs w:val="24"/>
          <w:shd w:val="clear" w:color="auto" w:fill="ffffff"/>
          <w:rtl w:val="0"/>
          <w:lang w:val="en-US"/>
        </w:rPr>
        <w:t xml:space="preserve">as evident in the urban visual landscape. </w:t>
      </w:r>
      <w:r>
        <w:rPr>
          <w:rStyle w:val="None"/>
          <w:rFonts w:ascii="Times New Roman" w:hAnsi="Times New Roman"/>
          <w:sz w:val="24"/>
          <w:szCs w:val="24"/>
          <w:shd w:val="clear" w:color="auto" w:fill="ffffff"/>
          <w:rtl w:val="0"/>
          <w:lang w:val="en-US"/>
        </w:rPr>
        <w:t xml:space="preserve">The collected material encompasses written graffiti, street art and advertisements- at a time where </w:t>
      </w:r>
      <w:r>
        <w:rPr>
          <w:rStyle w:val="None"/>
          <w:rFonts w:ascii="Times New Roman" w:hAnsi="Times New Roman"/>
          <w:sz w:val="24"/>
          <w:szCs w:val="24"/>
          <w:shd w:val="clear" w:color="auto" w:fill="ffffff"/>
          <w:rtl w:val="0"/>
          <w:lang w:val="en-US"/>
        </w:rPr>
        <w:t xml:space="preserve">Novi Sad aims to adopt various </w:t>
      </w:r>
      <w:r>
        <w:rPr>
          <w:rStyle w:val="None"/>
          <w:rFonts w:ascii="Times New Roman" w:hAnsi="Times New Roman" w:hint="default"/>
          <w:sz w:val="24"/>
          <w:szCs w:val="24"/>
          <w:shd w:val="clear" w:color="auto" w:fill="ffffff"/>
          <w:rtl w:val="1"/>
          <w:lang w:val="ar-SA" w:bidi="ar-SA"/>
        </w:rPr>
        <w:t>“</w:t>
      </w:r>
      <w:r>
        <w:rPr>
          <w:rStyle w:val="None"/>
          <w:rFonts w:ascii="Times New Roman" w:hAnsi="Times New Roman"/>
          <w:sz w:val="24"/>
          <w:szCs w:val="24"/>
          <w:shd w:val="clear" w:color="auto" w:fill="ffffff"/>
          <w:rtl w:val="0"/>
          <w:lang w:val="en-US"/>
        </w:rPr>
        <w:t>creative city</w:t>
      </w:r>
      <w:r>
        <w:rPr>
          <w:rStyle w:val="None"/>
          <w:rFonts w:ascii="Times New Roman" w:hAnsi="Times New Roman" w:hint="default"/>
          <w:sz w:val="24"/>
          <w:szCs w:val="24"/>
          <w:shd w:val="clear" w:color="auto" w:fill="ffffff"/>
          <w:rtl w:val="0"/>
        </w:rPr>
        <w:t xml:space="preserve">” </w:t>
      </w:r>
      <w:r>
        <w:rPr>
          <w:rStyle w:val="None"/>
          <w:rFonts w:ascii="Times New Roman" w:hAnsi="Times New Roman"/>
          <w:sz w:val="24"/>
          <w:szCs w:val="24"/>
          <w:shd w:val="clear" w:color="auto" w:fill="ffffff"/>
          <w:rtl w:val="0"/>
          <w:lang w:val="en-US"/>
        </w:rPr>
        <w:t>agendas, towards its participation in the European Capital of Culture and European Youth Capital programmes</w:t>
      </w:r>
      <w:r>
        <w:rPr>
          <w:rStyle w:val="None"/>
          <w:rFonts w:ascii="Times New Roman" w:hAnsi="Times New Roman"/>
          <w:sz w:val="24"/>
          <w:szCs w:val="24"/>
          <w:shd w:val="clear" w:color="auto" w:fill="ffffff"/>
          <w:rtl w:val="0"/>
          <w:lang w:val="en-US"/>
        </w:rPr>
        <w:t xml:space="preserve">. As many post-socialist cities attempt to assert their new identity in the global market, </w:t>
      </w:r>
      <w:r>
        <w:rPr>
          <w:rFonts w:ascii="Times New Roman" w:hAnsi="Times New Roman"/>
          <w:sz w:val="24"/>
          <w:szCs w:val="24"/>
          <w:rtl w:val="0"/>
          <w:lang w:val="en-US"/>
        </w:rPr>
        <w:t>urban culture becomes heavily regulated by public authority in a struggle to brand the city in alignment what they perceive to be a desirable and authentically European image (</w:t>
      </w:r>
      <w:r>
        <w:rPr>
          <w:rFonts w:ascii="Times New Roman" w:hAnsi="Times New Roman"/>
          <w:sz w:val="24"/>
          <w:szCs w:val="24"/>
          <w:rtl w:val="0"/>
        </w:rPr>
        <w:t>Czepczynski</w:t>
      </w:r>
      <w:r>
        <w:rPr>
          <w:rFonts w:ascii="Times New Roman" w:hAnsi="Times New Roman"/>
          <w:sz w:val="24"/>
          <w:szCs w:val="24"/>
          <w:rtl w:val="0"/>
          <w:lang w:val="en-US"/>
        </w:rPr>
        <w:t>, 2008).</w:t>
      </w:r>
      <w:r>
        <w:rPr>
          <w:rStyle w:val="None"/>
          <w:rFonts w:ascii="Times New Roman" w:hAnsi="Times New Roman"/>
          <w:sz w:val="24"/>
          <w:szCs w:val="24"/>
          <w:shd w:val="clear" w:color="auto" w:fill="ffffff"/>
          <w:rtl w:val="0"/>
          <w:lang w:val="en-US"/>
        </w:rPr>
        <w:t xml:space="preserve"> In this context, n</w:t>
      </w:r>
      <w:r>
        <w:rPr>
          <w:rStyle w:val="None"/>
          <w:rFonts w:ascii="Times New Roman" w:hAnsi="Times New Roman"/>
          <w:sz w:val="24"/>
          <w:szCs w:val="24"/>
          <w:shd w:val="clear" w:color="auto" w:fill="ffffff"/>
          <w:rtl w:val="0"/>
          <w:lang w:val="en-US"/>
        </w:rPr>
        <w:t xml:space="preserve">umerous forms of street art have been appropriated and used as strategies for culture-led urban development. These often stand in tension with traditional, illegal street art. Hence the </w:t>
      </w:r>
      <w:r>
        <w:rPr>
          <w:rStyle w:val="None"/>
          <w:rFonts w:ascii="Times New Roman" w:hAnsi="Times New Roman"/>
          <w:sz w:val="24"/>
          <w:szCs w:val="24"/>
          <w:shd w:val="clear" w:color="auto" w:fill="ffffff"/>
          <w:rtl w:val="0"/>
          <w:lang w:val="en-US"/>
        </w:rPr>
        <w:t>research</w:t>
      </w:r>
      <w:r>
        <w:rPr>
          <w:rStyle w:val="None"/>
          <w:rFonts w:ascii="Times New Roman" w:hAnsi="Times New Roman"/>
          <w:sz w:val="24"/>
          <w:szCs w:val="24"/>
          <w:shd w:val="clear" w:color="auto" w:fill="ffffff"/>
          <w:rtl w:val="0"/>
        </w:rPr>
        <w:t xml:space="preserve"> </w:t>
      </w:r>
      <w:r>
        <w:rPr>
          <w:rStyle w:val="None"/>
          <w:rFonts w:ascii="Times New Roman" w:hAnsi="Times New Roman"/>
          <w:sz w:val="24"/>
          <w:szCs w:val="24"/>
          <w:shd w:val="clear" w:color="auto" w:fill="ffffff"/>
          <w:rtl w:val="0"/>
          <w:lang w:val="en-US"/>
        </w:rPr>
        <w:t>explores</w:t>
      </w:r>
      <w:r>
        <w:rPr>
          <w:rStyle w:val="None"/>
          <w:rFonts w:ascii="Times New Roman" w:hAnsi="Times New Roman"/>
          <w:sz w:val="24"/>
          <w:szCs w:val="24"/>
          <w:shd w:val="clear" w:color="auto" w:fill="ffffff"/>
          <w:rtl w:val="0"/>
          <w:lang w:val="en-US"/>
        </w:rPr>
        <w:t xml:space="preserve"> the portrayals of women throughout these forms- those deemed acceptable</w:t>
      </w:r>
      <w:r>
        <w:rPr>
          <w:rStyle w:val="None"/>
          <w:rFonts w:ascii="Times New Roman" w:hAnsi="Times New Roman"/>
          <w:sz w:val="24"/>
          <w:szCs w:val="24"/>
          <w:shd w:val="clear" w:color="auto" w:fill="ffffff"/>
          <w:rtl w:val="0"/>
          <w:lang w:val="en-US"/>
        </w:rPr>
        <w:t>,</w:t>
      </w:r>
      <w:r>
        <w:rPr>
          <w:rStyle w:val="None"/>
          <w:rFonts w:ascii="Times New Roman" w:hAnsi="Times New Roman"/>
          <w:sz w:val="24"/>
          <w:szCs w:val="24"/>
          <w:shd w:val="clear" w:color="auto" w:fill="ffffff"/>
          <w:rtl w:val="0"/>
          <w:lang w:val="en-US"/>
        </w:rPr>
        <w:t xml:space="preserve"> which are often depoliticised and purely decorative- versus those that are pushed aside or destroyed, speaking not only in terms of who has a right to creative expression in public space, but also what kind of portrayals fit into the desired image of a marketable city.  It will </w:t>
      </w:r>
      <w:r>
        <w:rPr>
          <w:rStyle w:val="None"/>
          <w:rFonts w:ascii="Times New Roman" w:hAnsi="Times New Roman"/>
          <w:sz w:val="24"/>
          <w:szCs w:val="24"/>
          <w:shd w:val="clear" w:color="auto" w:fill="ffffff"/>
          <w:rtl w:val="0"/>
          <w:lang w:val="en-US"/>
        </w:rPr>
        <w:t>further look into the way</w:t>
      </w:r>
      <w:r>
        <w:rPr>
          <w:rStyle w:val="None"/>
          <w:rFonts w:ascii="Times New Roman" w:hAnsi="Times New Roman"/>
          <w:sz w:val="24"/>
          <w:szCs w:val="24"/>
          <w:shd w:val="clear" w:color="auto" w:fill="ffffff"/>
          <w:rtl w:val="0"/>
          <w:lang w:val="en-US"/>
        </w:rPr>
        <w:t xml:space="preserve"> advertising practices have negotiated the various, often conflicting factors of influence on the construction of post-socialist gender identities, the juxtaposition between commercial and non-commercial portrayals, and the ways in which their placing contributes to the creation of gendered spaces.</w:t>
      </w:r>
    </w:p>
    <w:p>
      <w:pPr>
        <w:pStyle w:val="Default"/>
        <w:spacing w:after="240" w:line="360" w:lineRule="auto"/>
        <w:jc w:val="both"/>
        <w:rPr>
          <w:rStyle w:val="None"/>
          <w:rFonts w:ascii="Times New Roman" w:cs="Times New Roman" w:hAnsi="Times New Roman" w:eastAsia="Times New Roman"/>
          <w:sz w:val="24"/>
          <w:szCs w:val="24"/>
          <w:shd w:val="clear" w:color="auto" w:fill="ffffff"/>
        </w:rPr>
      </w:pPr>
    </w:p>
    <w:p>
      <w:pPr>
        <w:pStyle w:val="Default"/>
        <w:spacing w:after="240" w:line="360" w:lineRule="auto"/>
        <w:jc w:val="both"/>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Works cited:</w:t>
      </w:r>
    </w:p>
    <w:p>
      <w:pPr>
        <w:pStyle w:val="Default"/>
        <w:spacing w:after="240" w:line="360" w:lineRule="auto"/>
        <w:jc w:val="both"/>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rtl w:val="0"/>
          <w:lang w:val="en-US"/>
        </w:rPr>
        <w:t>Berger, J. (1972). Ways of seeing. BBC and Penguin.</w:t>
      </w:r>
    </w:p>
    <w:p>
      <w:pPr>
        <w:pStyle w:val="Default"/>
        <w:spacing w:after="240" w:line="36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Czepczynski, M. (2008) </w:t>
      </w:r>
      <w:r>
        <w:rPr>
          <w:rFonts w:ascii="Times New Roman" w:hAnsi="Times New Roman"/>
          <w:sz w:val="24"/>
          <w:szCs w:val="24"/>
          <w:rtl w:val="0"/>
          <w:lang w:val="en-US"/>
        </w:rPr>
        <w:t xml:space="preserve">Cultural Landscapes of Post-Socialist Cities: </w:t>
      </w:r>
      <w:r>
        <w:rPr>
          <w:rStyle w:val="None"/>
          <w:rFonts w:ascii="Times New Roman" w:hAnsi="Times New Roman"/>
          <w:sz w:val="24"/>
          <w:szCs w:val="24"/>
          <w:rtl w:val="0"/>
          <w:lang w:val="en-US"/>
        </w:rPr>
        <w:t>Representation of Powers and Needs. Routledge.</w:t>
      </w:r>
    </w:p>
    <w:p>
      <w:pPr>
        <w:pStyle w:val="Default"/>
        <w:spacing w:after="240" w:line="360" w:lineRule="auto"/>
        <w:jc w:val="both"/>
        <w:rPr>
          <w:rStyle w:val="None"/>
          <w:rFonts w:ascii="Times New Roman" w:cs="Times New Roman" w:hAnsi="Times New Roman" w:eastAsia="Times New Roman"/>
          <w:sz w:val="24"/>
          <w:szCs w:val="24"/>
          <w:shd w:val="clear" w:color="auto" w:fill="ffffff"/>
        </w:rPr>
      </w:pPr>
      <w:r>
        <w:rPr>
          <w:rFonts w:ascii="Times New Roman" w:hAnsi="Times New Roman"/>
          <w:sz w:val="24"/>
          <w:szCs w:val="24"/>
          <w:rtl w:val="0"/>
          <w:lang w:val="en-US"/>
        </w:rPr>
        <w:t>Goffman,</w:t>
      </w:r>
      <w:r>
        <w:rPr>
          <w:rFonts w:ascii="Times New Roman" w:hAnsi="Times New Roman" w:hint="default"/>
          <w:sz w:val="24"/>
          <w:szCs w:val="24"/>
          <w:rtl w:val="0"/>
          <w:lang w:val="en-US"/>
        </w:rPr>
        <w:t> </w:t>
      </w:r>
      <w:r>
        <w:rPr>
          <w:rFonts w:ascii="Times New Roman" w:hAnsi="Times New Roman"/>
          <w:sz w:val="24"/>
          <w:szCs w:val="24"/>
          <w:rtl w:val="0"/>
          <w:lang w:val="en-US"/>
        </w:rPr>
        <w:t xml:space="preserve">E. (1979). </w:t>
      </w:r>
      <w:r>
        <w:rPr>
          <w:rStyle w:val="None"/>
          <w:rFonts w:ascii="Times New Roman" w:hAnsi="Times New Roman"/>
          <w:i w:val="1"/>
          <w:iCs w:val="1"/>
          <w:sz w:val="24"/>
          <w:szCs w:val="24"/>
          <w:rtl w:val="0"/>
          <w:lang w:val="en-US"/>
        </w:rPr>
        <w:t>Gender advertisements</w:t>
      </w:r>
      <w:r>
        <w:rPr>
          <w:rFonts w:ascii="Times New Roman" w:hAnsi="Times New Roman"/>
          <w:sz w:val="24"/>
          <w:szCs w:val="24"/>
          <w:rtl w:val="0"/>
          <w:lang w:val="en-US"/>
        </w:rPr>
        <w:t>. Macmillan International Higher Education.</w:t>
      </w:r>
    </w:p>
    <w:p>
      <w:pPr>
        <w:pStyle w:val="Default"/>
        <w:spacing w:after="240" w:line="360" w:lineRule="auto"/>
        <w:jc w:val="both"/>
      </w:pPr>
      <w:r>
        <w:rPr>
          <w:rFonts w:ascii="Times New Roman" w:hAnsi="Times New Roman"/>
          <w:sz w:val="24"/>
          <w:szCs w:val="24"/>
          <w:rtl w:val="0"/>
          <w:lang w:val="en-US"/>
        </w:rPr>
        <w:t xml:space="preserve">Hall, S., Evans, J. and Nixon, S. (Eds.) (2013). Representation (2nd edition). London/Thousand Oaks/New Delhi: Sage Publications. </w:t>
      </w:r>
      <w:r>
        <w:rPr>
          <w:rStyle w:val="None"/>
          <w:rFonts w:ascii="Times New Roman" w:cs="Times New Roman" w:hAnsi="Times New Roman" w:eastAsia="Times New Roman"/>
          <w:sz w:val="24"/>
          <w:szCs w:val="24"/>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sz w:val="24"/>
      <w:szCs w:val="24"/>
      <w:u w:val="singl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